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9C" w:rsidRPr="008D4E43" w:rsidRDefault="00854D9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0348B" w:rsidRPr="00827F0F" w:rsidRDefault="0020348B" w:rsidP="008D4E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F0F">
        <w:rPr>
          <w:rFonts w:ascii="Times New Roman" w:hAnsi="Times New Roman" w:cs="Times New Roman"/>
          <w:b/>
        </w:rPr>
        <w:t>Справка</w:t>
      </w:r>
    </w:p>
    <w:p w:rsidR="0020348B" w:rsidRPr="00827F0F" w:rsidRDefault="0020348B" w:rsidP="008D4E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F0F">
        <w:rPr>
          <w:rFonts w:ascii="Times New Roman" w:hAnsi="Times New Roman" w:cs="Times New Roman"/>
        </w:rPr>
        <w:t>о соискателе ученого звания «</w:t>
      </w:r>
      <w:r w:rsidRPr="00827F0F">
        <w:rPr>
          <w:rFonts w:ascii="Times New Roman" w:hAnsi="Times New Roman" w:cs="Times New Roman"/>
          <w:lang w:val="kk-KZ"/>
        </w:rPr>
        <w:t>П</w:t>
      </w:r>
      <w:proofErr w:type="spellStart"/>
      <w:r w:rsidRPr="00827F0F">
        <w:rPr>
          <w:rFonts w:ascii="Times New Roman" w:hAnsi="Times New Roman" w:cs="Times New Roman"/>
        </w:rPr>
        <w:t>рофессор</w:t>
      </w:r>
      <w:proofErr w:type="spellEnd"/>
      <w:r w:rsidRPr="00827F0F">
        <w:rPr>
          <w:rFonts w:ascii="Times New Roman" w:hAnsi="Times New Roman" w:cs="Times New Roman"/>
        </w:rPr>
        <w:t xml:space="preserve">» </w:t>
      </w:r>
    </w:p>
    <w:p w:rsidR="006C3D7E" w:rsidRDefault="0020348B" w:rsidP="008D4E4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827F0F">
        <w:rPr>
          <w:rFonts w:ascii="Times New Roman" w:hAnsi="Times New Roman" w:cs="Times New Roman"/>
        </w:rPr>
        <w:t xml:space="preserve">по </w:t>
      </w:r>
      <w:r w:rsidR="003B012F">
        <w:rPr>
          <w:rFonts w:ascii="Times New Roman" w:hAnsi="Times New Roman" w:cs="Times New Roman"/>
          <w:lang w:val="kk-KZ"/>
        </w:rPr>
        <w:t>научному направлению</w:t>
      </w:r>
      <w:r w:rsidRPr="00827F0F">
        <w:rPr>
          <w:rFonts w:ascii="Times New Roman" w:hAnsi="Times New Roman" w:cs="Times New Roman"/>
        </w:rPr>
        <w:t xml:space="preserve"> </w:t>
      </w:r>
      <w:r w:rsidRPr="00827F0F">
        <w:rPr>
          <w:rFonts w:ascii="Times New Roman" w:eastAsia="Times New Roman" w:hAnsi="Times New Roman" w:cs="Times New Roman"/>
          <w:lang w:eastAsia="ru-RU"/>
        </w:rPr>
        <w:t>20700</w:t>
      </w:r>
      <w:r w:rsidRPr="00827F0F">
        <w:rPr>
          <w:rFonts w:ascii="Times New Roman" w:eastAsia="Times New Roman" w:hAnsi="Times New Roman" w:cs="Times New Roman"/>
          <w:lang w:val="kk-KZ" w:eastAsia="ru-RU"/>
        </w:rPr>
        <w:t xml:space="preserve"> -</w:t>
      </w:r>
      <w:r w:rsidRPr="00827F0F">
        <w:rPr>
          <w:rFonts w:ascii="Times New Roman" w:eastAsia="Times New Roman" w:hAnsi="Times New Roman" w:cs="Times New Roman"/>
          <w:lang w:eastAsia="ru-RU"/>
        </w:rPr>
        <w:t xml:space="preserve"> Энергетика и рациональное природопользование</w:t>
      </w:r>
      <w:r w:rsidRPr="00827F0F">
        <w:rPr>
          <w:rFonts w:ascii="Times New Roman" w:eastAsia="Times New Roman" w:hAnsi="Times New Roman" w:cs="Times New Roman"/>
          <w:lang w:val="kk-KZ" w:eastAsia="ru-RU"/>
        </w:rPr>
        <w:t xml:space="preserve"> </w:t>
      </w:r>
    </w:p>
    <w:p w:rsidR="0020348B" w:rsidRPr="00827F0F" w:rsidRDefault="0020348B" w:rsidP="008D4E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74564"/>
          <w:kern w:val="36"/>
          <w:lang w:val="kk-KZ" w:eastAsia="ru-RU"/>
        </w:rPr>
      </w:pPr>
      <w:r w:rsidRPr="00827F0F">
        <w:rPr>
          <w:rFonts w:ascii="Times New Roman" w:eastAsia="Times New Roman" w:hAnsi="Times New Roman" w:cs="Times New Roman"/>
          <w:lang w:val="kk-KZ" w:eastAsia="ru-RU"/>
        </w:rPr>
        <w:t>(</w:t>
      </w:r>
      <w:r w:rsidRPr="00827F0F">
        <w:rPr>
          <w:rFonts w:ascii="Times New Roman" w:eastAsia="Times New Roman" w:hAnsi="Times New Roman" w:cs="Times New Roman"/>
          <w:lang w:eastAsia="ru-RU"/>
        </w:rPr>
        <w:t>25.00.</w:t>
      </w:r>
      <w:r w:rsidRPr="00827F0F">
        <w:rPr>
          <w:rFonts w:ascii="Times New Roman" w:eastAsia="Times New Roman" w:hAnsi="Times New Roman" w:cs="Times New Roman"/>
          <w:lang w:val="kk-KZ" w:eastAsia="ru-RU"/>
        </w:rPr>
        <w:t>00</w:t>
      </w:r>
      <w:r w:rsidRPr="00827F0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27F0F">
        <w:rPr>
          <w:rFonts w:ascii="Times New Roman" w:eastAsia="Times New Roman" w:hAnsi="Times New Roman" w:cs="Times New Roman"/>
          <w:bCs/>
          <w:kern w:val="36"/>
          <w:lang w:eastAsia="ru-RU"/>
        </w:rPr>
        <w:t>Науки о Земле</w:t>
      </w:r>
      <w:r w:rsidRPr="00827F0F">
        <w:rPr>
          <w:rFonts w:ascii="Times New Roman" w:eastAsia="Times New Roman" w:hAnsi="Times New Roman" w:cs="Times New Roman"/>
          <w:bCs/>
          <w:color w:val="074564"/>
          <w:kern w:val="36"/>
          <w:lang w:val="kk-KZ" w:eastAsia="ru-RU"/>
        </w:rPr>
        <w:t>)</w:t>
      </w:r>
    </w:p>
    <w:p w:rsidR="001369B3" w:rsidRPr="008D4E43" w:rsidRDefault="001369B3" w:rsidP="008D4E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2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4960"/>
        <w:gridCol w:w="4961"/>
      </w:tblGrid>
      <w:tr w:rsidR="001369B3" w:rsidRPr="008D4E43" w:rsidTr="008D4E43">
        <w:trPr>
          <w:trHeight w:val="30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его наличии)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Нуршаханова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Лаззат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Кульжановна</w:t>
            </w:r>
            <w:proofErr w:type="spellEnd"/>
          </w:p>
        </w:tc>
      </w:tr>
      <w:tr w:rsidR="001369B3" w:rsidRPr="008D4E43" w:rsidTr="008D4E43">
        <w:trPr>
          <w:trHeight w:val="30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Ученая степень (кандидата наук, доктора наук, доктора философии (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), доктора по профилю или степень доктора философии (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), доктора по профилю, дата присуждения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наук, 10.04.2005 г.</w:t>
            </w:r>
          </w:p>
          <w:p w:rsidR="001369B3" w:rsidRPr="008D4E43" w:rsidRDefault="001369B3" w:rsidP="008D4E43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Диплом КТ № 154342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(РГУ им. Губкина, РФ)</w:t>
            </w:r>
          </w:p>
          <w:p w:rsidR="001369B3" w:rsidRPr="008D4E43" w:rsidRDefault="001369B3" w:rsidP="008D4E43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(переаттестация)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, 19.05.2006 г.</w:t>
            </w:r>
          </w:p>
          <w:p w:rsidR="001369B3" w:rsidRPr="008D4E43" w:rsidRDefault="001369B3" w:rsidP="008D4E43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0000076</w:t>
            </w:r>
          </w:p>
        </w:tc>
      </w:tr>
      <w:tr w:rsidR="001369B3" w:rsidRPr="008D4E43" w:rsidTr="008D4E43">
        <w:trPr>
          <w:trHeight w:val="30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Ученое звание, дата присуждения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6556A0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Доцент по специальности «Разработка полезных ископаемых», 26.01.2009, ДЦ 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0000873</w:t>
            </w:r>
          </w:p>
        </w:tc>
      </w:tr>
      <w:tr w:rsidR="001369B3" w:rsidRPr="008D4E43" w:rsidTr="008D4E43">
        <w:trPr>
          <w:trHeight w:val="469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Почетное звание, дата присуждения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образования Республики Казахстан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29.12.2011, № 599</w:t>
            </w:r>
          </w:p>
        </w:tc>
      </w:tr>
      <w:tr w:rsidR="001369B3" w:rsidRPr="008D4E43" w:rsidTr="008D4E43">
        <w:trPr>
          <w:trHeight w:val="30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Должность (дата и номер приказа о назначении на должность)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Профессор кафедры «Нефтехимический инжиниринг», 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Приказ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08-4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 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</w:tr>
      <w:tr w:rsidR="001369B3" w:rsidRPr="008D4E43" w:rsidTr="008D4E43">
        <w:trPr>
          <w:trHeight w:val="30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Стаж научной, научно-педагогической деятельности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BC2BA6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Всего 3</w:t>
            </w:r>
            <w:r w:rsidR="00BC2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6448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в должности 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профессора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</w:p>
        </w:tc>
      </w:tr>
      <w:tr w:rsidR="001369B3" w:rsidRPr="008D4E43" w:rsidTr="008D4E43">
        <w:trPr>
          <w:trHeight w:val="30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70EAF" w:rsidRDefault="00870EAF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EAF">
              <w:rPr>
                <w:rFonts w:ascii="Times New Roman" w:hAnsi="Times New Roman" w:cs="Times New Roman"/>
                <w:sz w:val="20"/>
                <w:szCs w:val="20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="00373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  <w:p w:rsidR="001369B3" w:rsidRPr="008D4E43" w:rsidRDefault="001369B3" w:rsidP="008D4E43">
            <w:pPr>
              <w:tabs>
                <w:tab w:val="left" w:pos="336"/>
              </w:tabs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- в изданиях рекомендуемых уполномоченным органом - 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369B3" w:rsidRDefault="001369B3" w:rsidP="008D4E43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- в научных журналах, входящих в базы компании 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6C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936C9">
              <w:rPr>
                <w:rFonts w:ascii="Times New Roman" w:hAnsi="Times New Roman" w:cs="Times New Roman"/>
                <w:sz w:val="20"/>
                <w:szCs w:val="20"/>
              </w:rPr>
              <w:t>Скопус</w:t>
            </w:r>
            <w:proofErr w:type="spellEnd"/>
            <w:r w:rsidR="00C936C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3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0EAF" w:rsidRPr="008D4E43" w:rsidRDefault="00870EAF" w:rsidP="00373F30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других научных изданиях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включая конференции </w:t>
            </w:r>
            <w:r w:rsidR="00C46F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73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  <w:r w:rsidR="00C46F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B3" w:rsidRPr="00EB47EB" w:rsidTr="008D4E43">
        <w:trPr>
          <w:trHeight w:val="30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EB47EB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7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EB47EB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7E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Количество, изданных за </w:t>
            </w:r>
            <w:proofErr w:type="gramStart"/>
            <w:r w:rsidRPr="00EB47EB">
              <w:rPr>
                <w:rFonts w:ascii="Times New Roman" w:hAnsi="Times New Roman" w:cs="Times New Roman"/>
                <w:sz w:val="20"/>
                <w:szCs w:val="20"/>
              </w:rPr>
              <w:t>последние</w:t>
            </w:r>
            <w:proofErr w:type="gramEnd"/>
            <w:r w:rsidRPr="00EB47EB">
              <w:rPr>
                <w:rFonts w:ascii="Times New Roman" w:hAnsi="Times New Roman" w:cs="Times New Roman"/>
                <w:sz w:val="20"/>
                <w:szCs w:val="20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EB47EB" w:rsidRDefault="00870EAF" w:rsidP="00870E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1369B3"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онографи</w:t>
            </w:r>
            <w:r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-</w:t>
            </w:r>
            <w:r w:rsidRPr="00EB47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69B3"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73F30"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(в со</w:t>
            </w:r>
            <w:r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</w:t>
            </w:r>
            <w:r w:rsidR="00373F30"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</w:t>
            </w:r>
            <w:r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стве)</w:t>
            </w:r>
            <w:r w:rsidR="00EB47EB"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Л.К. Нуршахановой написаны 7,5 (семь с половиной) печатных листов. </w:t>
            </w:r>
          </w:p>
          <w:p w:rsidR="00870EAF" w:rsidRPr="00EB47EB" w:rsidRDefault="006827DC" w:rsidP="00FE09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Учебников и у</w:t>
            </w:r>
            <w:r w:rsidR="00870EAF"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чебных пособий </w:t>
            </w:r>
            <w:r w:rsidR="00C46FE0"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870EAF"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E09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C46FE0" w:rsidRPr="00EB47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369B3" w:rsidRPr="008D4E43" w:rsidTr="008D4E43">
        <w:trPr>
          <w:trHeight w:val="30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), доктора по профилю) или академическая степень доктора философии (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), доктора по профилю или степень доктора философии (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), доктора по профилю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127" w:right="127"/>
              <w:jc w:val="center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eastAsia="Consolas" w:hAnsi="Times New Roman" w:cs="Times New Roman"/>
                <w:sz w:val="20"/>
                <w:szCs w:val="20"/>
              </w:rPr>
              <w:t>-</w:t>
            </w:r>
          </w:p>
        </w:tc>
      </w:tr>
      <w:tr w:rsidR="001369B3" w:rsidRPr="008D4E43" w:rsidTr="008D4E43">
        <w:trPr>
          <w:trHeight w:val="30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369B3" w:rsidRPr="008D4E43" w:rsidTr="008D4E43">
        <w:trPr>
          <w:trHeight w:val="30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369B3" w:rsidRPr="008D4E43" w:rsidTr="008D4E43">
        <w:trPr>
          <w:trHeight w:val="30"/>
        </w:trPr>
        <w:tc>
          <w:tcPr>
            <w:tcW w:w="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9B3" w:rsidRPr="008D4E43" w:rsidRDefault="001369B3" w:rsidP="008D4E43">
            <w:pPr>
              <w:pStyle w:val="a3"/>
              <w:tabs>
                <w:tab w:val="left" w:pos="410"/>
              </w:tabs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Хирша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D4E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4E43" w:rsidRPr="008D4E43" w:rsidRDefault="008D4E43" w:rsidP="008D4E43">
            <w:pPr>
              <w:pStyle w:val="a3"/>
              <w:tabs>
                <w:tab w:val="left" w:pos="410"/>
              </w:tabs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Являлась старшим научным сотрудником проекта 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грантового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МОН РК на тему «Увеличение добычи углеводородов из месторождения с </w:t>
            </w:r>
            <w:proofErr w:type="spellStart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>трудноизвлекаемыми</w:t>
            </w:r>
            <w:proofErr w:type="spellEnd"/>
            <w:r w:rsidRPr="008D4E43">
              <w:rPr>
                <w:rFonts w:ascii="Times New Roman" w:hAnsi="Times New Roman" w:cs="Times New Roman"/>
                <w:sz w:val="20"/>
                <w:szCs w:val="20"/>
              </w:rPr>
              <w:t xml:space="preserve"> запасами», (2013-2016 гг.)</w:t>
            </w:r>
          </w:p>
          <w:p w:rsidR="001369B3" w:rsidRPr="008D4E43" w:rsidRDefault="001369B3" w:rsidP="008D4E43">
            <w:pPr>
              <w:pStyle w:val="a3"/>
              <w:tabs>
                <w:tab w:val="left" w:pos="410"/>
              </w:tabs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E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Член рабочей группы проекта </w:t>
            </w:r>
            <w:proofErr w:type="spellStart"/>
            <w:r w:rsidRPr="008D4E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Эрасмус</w:t>
            </w:r>
            <w:proofErr w:type="spellEnd"/>
            <w:r w:rsidRPr="008D4E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GEOCLIC «Новые курсы по </w:t>
            </w:r>
            <w:proofErr w:type="spellStart"/>
            <w:r w:rsidRPr="008D4E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геопространственной</w:t>
            </w:r>
            <w:proofErr w:type="spellEnd"/>
            <w:r w:rsidRPr="008D4E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инженерии для адаптации прибрежных экосистем к изменению климата», 2021-2024 гг.</w:t>
            </w:r>
          </w:p>
          <w:p w:rsidR="001369B3" w:rsidRPr="008D4E43" w:rsidRDefault="001369B3" w:rsidP="008D4E43">
            <w:pPr>
              <w:pStyle w:val="a3"/>
              <w:tabs>
                <w:tab w:val="left" w:pos="410"/>
              </w:tabs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4E4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Член исследовательской группы проекта </w:t>
            </w:r>
            <w:r w:rsidRPr="008D4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ЦАП «Разработка интегрированных энергосберегающих технологий для развития экологической устойчивости и эффективности морских операций в казахстанском секторе Каспийского моря» (2024–2026</w:t>
            </w:r>
            <w:r w:rsidR="00EB47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EB47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гг</w:t>
            </w:r>
            <w:proofErr w:type="gramEnd"/>
            <w:r w:rsidRPr="008D4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369B3" w:rsidRDefault="001369B3" w:rsidP="008D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D4E43">
        <w:rPr>
          <w:rFonts w:ascii="Times New Roman" w:hAnsi="Times New Roman" w:cs="Times New Roman"/>
          <w:b/>
          <w:sz w:val="20"/>
          <w:szCs w:val="20"/>
        </w:rPr>
        <w:tab/>
      </w:r>
      <w:r w:rsidRPr="008D4E43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8D4E43"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 w:rsidRPr="008D4E43">
        <w:rPr>
          <w:rFonts w:ascii="Times New Roman" w:hAnsi="Times New Roman" w:cs="Times New Roman"/>
          <w:b/>
          <w:sz w:val="20"/>
          <w:szCs w:val="20"/>
          <w:lang w:val="kk-KZ"/>
        </w:rPr>
        <w:tab/>
      </w:r>
    </w:p>
    <w:p w:rsidR="001D0A22" w:rsidRPr="008D4E43" w:rsidRDefault="001D0A22" w:rsidP="008D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448CC" w:rsidRPr="006448CC" w:rsidRDefault="006448CC" w:rsidP="006448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6448CC">
        <w:rPr>
          <w:rFonts w:ascii="Times New Roman" w:hAnsi="Times New Roman" w:cs="Times New Roman"/>
          <w:b/>
          <w:bCs/>
          <w:color w:val="000000"/>
          <w:lang w:val="kk-KZ"/>
        </w:rPr>
        <w:t>Вице-президент по исследованиям и развитию</w:t>
      </w:r>
      <w:r w:rsidRPr="006448CC"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lang w:val="kk-KZ"/>
        </w:rPr>
        <w:tab/>
      </w:r>
      <w:r>
        <w:rPr>
          <w:rFonts w:ascii="Times New Roman" w:hAnsi="Times New Roman" w:cs="Times New Roman"/>
          <w:b/>
          <w:bCs/>
          <w:color w:val="000000"/>
          <w:lang w:val="kk-KZ"/>
        </w:rPr>
        <w:tab/>
      </w:r>
      <w:proofErr w:type="spellStart"/>
      <w:r w:rsidRPr="006448CC">
        <w:rPr>
          <w:rFonts w:ascii="Times New Roman" w:hAnsi="Times New Roman" w:cs="Times New Roman"/>
          <w:b/>
          <w:bCs/>
          <w:color w:val="000000"/>
        </w:rPr>
        <w:t>Сейдалиев</w:t>
      </w:r>
      <w:proofErr w:type="spellEnd"/>
      <w:r w:rsidRPr="006448CC">
        <w:rPr>
          <w:rFonts w:ascii="Times New Roman" w:hAnsi="Times New Roman" w:cs="Times New Roman"/>
          <w:b/>
          <w:bCs/>
          <w:color w:val="000000"/>
        </w:rPr>
        <w:t xml:space="preserve"> А.А.</w:t>
      </w:r>
    </w:p>
    <w:p w:rsidR="003B012F" w:rsidRPr="008D4E43" w:rsidRDefault="003B012F" w:rsidP="008D4E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8"/>
      </w:tblGrid>
      <w:tr w:rsidR="001369B3" w:rsidRPr="00827F0F" w:rsidTr="00BB6956">
        <w:tc>
          <w:tcPr>
            <w:tcW w:w="5920" w:type="dxa"/>
          </w:tcPr>
          <w:p w:rsidR="001369B3" w:rsidRPr="00827F0F" w:rsidRDefault="001369B3" w:rsidP="008D4E4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18" w:type="dxa"/>
          </w:tcPr>
          <w:p w:rsidR="001369B3" w:rsidRPr="00827F0F" w:rsidRDefault="001369B3" w:rsidP="008D4E43">
            <w:pPr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1369B3" w:rsidRPr="008D4E43" w:rsidRDefault="001369B3" w:rsidP="008D4E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369B3" w:rsidRPr="008D4E43" w:rsidSect="000532A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1806"/>
    <w:multiLevelType w:val="hybridMultilevel"/>
    <w:tmpl w:val="FA9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1FC9"/>
    <w:multiLevelType w:val="hybridMultilevel"/>
    <w:tmpl w:val="FA9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6ED0"/>
    <w:multiLevelType w:val="hybridMultilevel"/>
    <w:tmpl w:val="FA9E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23"/>
    <w:rsid w:val="00014C05"/>
    <w:rsid w:val="000532A7"/>
    <w:rsid w:val="000645A7"/>
    <w:rsid w:val="0007402A"/>
    <w:rsid w:val="000852B2"/>
    <w:rsid w:val="000B5AE5"/>
    <w:rsid w:val="000F6992"/>
    <w:rsid w:val="001221B8"/>
    <w:rsid w:val="00122FD5"/>
    <w:rsid w:val="001369B3"/>
    <w:rsid w:val="001A428B"/>
    <w:rsid w:val="001D0A22"/>
    <w:rsid w:val="001E5A3F"/>
    <w:rsid w:val="0020348B"/>
    <w:rsid w:val="00211D05"/>
    <w:rsid w:val="00225EB8"/>
    <w:rsid w:val="002670C0"/>
    <w:rsid w:val="002C1E38"/>
    <w:rsid w:val="002F7E53"/>
    <w:rsid w:val="00373F30"/>
    <w:rsid w:val="00393FD2"/>
    <w:rsid w:val="003B012F"/>
    <w:rsid w:val="004C203B"/>
    <w:rsid w:val="004D7B25"/>
    <w:rsid w:val="004E6763"/>
    <w:rsid w:val="00523FD4"/>
    <w:rsid w:val="00545AC1"/>
    <w:rsid w:val="00593717"/>
    <w:rsid w:val="005E4A65"/>
    <w:rsid w:val="005E78C0"/>
    <w:rsid w:val="00625296"/>
    <w:rsid w:val="00626ABC"/>
    <w:rsid w:val="00636623"/>
    <w:rsid w:val="006448CC"/>
    <w:rsid w:val="006556A0"/>
    <w:rsid w:val="00673103"/>
    <w:rsid w:val="006827DC"/>
    <w:rsid w:val="006A3B8C"/>
    <w:rsid w:val="006C3D7E"/>
    <w:rsid w:val="006E0F66"/>
    <w:rsid w:val="006F2308"/>
    <w:rsid w:val="00700154"/>
    <w:rsid w:val="007426BB"/>
    <w:rsid w:val="0074293D"/>
    <w:rsid w:val="00756F2C"/>
    <w:rsid w:val="00766354"/>
    <w:rsid w:val="00780B41"/>
    <w:rsid w:val="007916A6"/>
    <w:rsid w:val="007B1B67"/>
    <w:rsid w:val="007B2BB8"/>
    <w:rsid w:val="007D0DDC"/>
    <w:rsid w:val="00827F0F"/>
    <w:rsid w:val="00854D9C"/>
    <w:rsid w:val="00870EAF"/>
    <w:rsid w:val="008744D6"/>
    <w:rsid w:val="00875762"/>
    <w:rsid w:val="00882C8E"/>
    <w:rsid w:val="008A6E8A"/>
    <w:rsid w:val="008D4E43"/>
    <w:rsid w:val="00903E26"/>
    <w:rsid w:val="00956EFC"/>
    <w:rsid w:val="00985E1C"/>
    <w:rsid w:val="009A7240"/>
    <w:rsid w:val="009B1985"/>
    <w:rsid w:val="009D7FD1"/>
    <w:rsid w:val="009E207E"/>
    <w:rsid w:val="00A16D02"/>
    <w:rsid w:val="00A30FFD"/>
    <w:rsid w:val="00AC343A"/>
    <w:rsid w:val="00AD1153"/>
    <w:rsid w:val="00AF5957"/>
    <w:rsid w:val="00B115F4"/>
    <w:rsid w:val="00B3743F"/>
    <w:rsid w:val="00B628A9"/>
    <w:rsid w:val="00B631F0"/>
    <w:rsid w:val="00BB2FE8"/>
    <w:rsid w:val="00BC2BA6"/>
    <w:rsid w:val="00C1477B"/>
    <w:rsid w:val="00C46FE0"/>
    <w:rsid w:val="00C936C9"/>
    <w:rsid w:val="00CA6AD3"/>
    <w:rsid w:val="00CD7EAC"/>
    <w:rsid w:val="00D22946"/>
    <w:rsid w:val="00D23B92"/>
    <w:rsid w:val="00D4514B"/>
    <w:rsid w:val="00D701E9"/>
    <w:rsid w:val="00D70A98"/>
    <w:rsid w:val="00DC013E"/>
    <w:rsid w:val="00DC73F8"/>
    <w:rsid w:val="00DE1FC9"/>
    <w:rsid w:val="00E62E3A"/>
    <w:rsid w:val="00E85D69"/>
    <w:rsid w:val="00E934B0"/>
    <w:rsid w:val="00EA19FD"/>
    <w:rsid w:val="00EA787B"/>
    <w:rsid w:val="00EB47EB"/>
    <w:rsid w:val="00EE700A"/>
    <w:rsid w:val="00EE7247"/>
    <w:rsid w:val="00F561FB"/>
    <w:rsid w:val="00FC1182"/>
    <w:rsid w:val="00FD63A1"/>
    <w:rsid w:val="00FE0937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5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5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64</cp:revision>
  <cp:lastPrinted>2024-11-03T18:32:00Z</cp:lastPrinted>
  <dcterms:created xsi:type="dcterms:W3CDTF">2023-10-12T15:00:00Z</dcterms:created>
  <dcterms:modified xsi:type="dcterms:W3CDTF">2024-11-03T18:33:00Z</dcterms:modified>
</cp:coreProperties>
</file>